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63" w:rsidRPr="004D48E4" w:rsidRDefault="008D1263" w:rsidP="008D1263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 w:rsidRPr="004D48E4">
        <w:rPr>
          <w:rFonts w:ascii="Arial" w:eastAsia="Arial" w:hAnsi="Arial" w:cs="Arial"/>
          <w:b/>
          <w:sz w:val="20"/>
        </w:rPr>
        <w:t>PLAN L</w:t>
      </w:r>
      <w:r>
        <w:rPr>
          <w:rFonts w:ascii="Arial" w:eastAsia="Arial" w:hAnsi="Arial" w:cs="Arial"/>
          <w:b/>
          <w:sz w:val="20"/>
        </w:rPr>
        <w:t>OCAL D’URBANISME - COMMUNE DE PARBAYSE</w:t>
      </w:r>
    </w:p>
    <w:p w:rsidR="008D1263" w:rsidRPr="004D48E4" w:rsidRDefault="008D1263" w:rsidP="008D1263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8D1263" w:rsidRDefault="008D1263" w:rsidP="008D1263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 w:rsidRPr="004D48E4">
        <w:rPr>
          <w:rFonts w:ascii="Arial" w:eastAsia="Arial" w:hAnsi="Arial" w:cs="Arial"/>
          <w:b/>
          <w:sz w:val="20"/>
        </w:rPr>
        <w:t>PRISE EN COMPTE DE L’AVIS DES SERVICES ET PERSONNES PUBLIQUES ASSOCIEES</w:t>
      </w:r>
    </w:p>
    <w:p w:rsidR="008D1263" w:rsidRDefault="008D1263" w:rsidP="008D1263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D1263" w:rsidRPr="0029497E" w:rsidTr="00591ADB">
        <w:tc>
          <w:tcPr>
            <w:tcW w:w="4606" w:type="dxa"/>
            <w:shd w:val="clear" w:color="auto" w:fill="262626" w:themeFill="text1" w:themeFillTint="D9"/>
          </w:tcPr>
          <w:p w:rsidR="008D1263" w:rsidRPr="0029497E" w:rsidRDefault="008D1263" w:rsidP="00591ADB">
            <w:pPr>
              <w:jc w:val="center"/>
              <w:rPr>
                <w:rFonts w:ascii="Arial" w:eastAsia="Arial" w:hAnsi="Arial" w:cs="Arial"/>
                <w:b/>
              </w:rPr>
            </w:pPr>
            <w:r w:rsidRPr="0029497E">
              <w:rPr>
                <w:rFonts w:ascii="Arial" w:eastAsia="Arial" w:hAnsi="Arial" w:cs="Arial"/>
                <w:b/>
              </w:rPr>
              <w:t>CDPENAF</w:t>
            </w:r>
          </w:p>
        </w:tc>
        <w:tc>
          <w:tcPr>
            <w:tcW w:w="4606" w:type="dxa"/>
            <w:shd w:val="clear" w:color="auto" w:fill="262626" w:themeFill="text1" w:themeFillTint="D9"/>
          </w:tcPr>
          <w:p w:rsidR="008D1263" w:rsidRPr="0029497E" w:rsidRDefault="008D1263" w:rsidP="00591ADB">
            <w:pPr>
              <w:jc w:val="center"/>
              <w:rPr>
                <w:rFonts w:ascii="Arial" w:eastAsia="Arial" w:hAnsi="Arial" w:cs="Arial"/>
                <w:b/>
              </w:rPr>
            </w:pPr>
            <w:r w:rsidRPr="0029497E">
              <w:rPr>
                <w:rFonts w:ascii="Arial" w:eastAsia="Arial" w:hAnsi="Arial" w:cs="Arial"/>
                <w:b/>
              </w:rPr>
              <w:t>PRISE EN COMPTE / MODIFICATIONS</w:t>
            </w:r>
          </w:p>
        </w:tc>
      </w:tr>
      <w:tr w:rsidR="008D1263" w:rsidTr="00591ADB">
        <w:tc>
          <w:tcPr>
            <w:tcW w:w="4606" w:type="dxa"/>
          </w:tcPr>
          <w:p w:rsidR="008D1263" w:rsidRDefault="008D1263" w:rsidP="00591ADB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:rsidR="008D1263" w:rsidRDefault="008D1263" w:rsidP="00591ADB">
            <w:pPr>
              <w:jc w:val="both"/>
              <w:rPr>
                <w:rFonts w:ascii="Arial" w:eastAsia="Arial" w:hAnsi="Arial" w:cs="Arial"/>
                <w:sz w:val="20"/>
              </w:rPr>
            </w:pPr>
            <w:r w:rsidRPr="008D1263">
              <w:rPr>
                <w:rFonts w:ascii="Arial" w:eastAsia="Arial" w:hAnsi="Arial" w:cs="Arial"/>
                <w:sz w:val="20"/>
              </w:rPr>
              <w:t>Avis favorable des changements de destination sous réserve que leur nombre soit réduit</w:t>
            </w:r>
          </w:p>
          <w:p w:rsidR="008D1263" w:rsidRDefault="008D1263" w:rsidP="00591ADB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Avis favorable du règlement écrit sur la zone A et N sous réserve de remplacer le terme surface de plancher par emprise au sol</w:t>
            </w:r>
          </w:p>
          <w:p w:rsidR="008D1263" w:rsidRPr="008D1263" w:rsidRDefault="008D1263" w:rsidP="00591ADB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8D1263" w:rsidRPr="00A80D33" w:rsidRDefault="008D1263" w:rsidP="00591ADB">
            <w:pPr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06" w:type="dxa"/>
          </w:tcPr>
          <w:p w:rsidR="008D1263" w:rsidRDefault="008D1263" w:rsidP="00591ADB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:rsidR="008D1263" w:rsidRDefault="008D1263" w:rsidP="00591ADB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Les changements de destination seront justifiés dans le rapport de présentation ou réduits après la phase d’enquête publique</w:t>
            </w:r>
            <w:r w:rsidRPr="00A8325A">
              <w:rPr>
                <w:rFonts w:ascii="Arial" w:eastAsia="Arial" w:hAnsi="Arial" w:cs="Arial"/>
                <w:sz w:val="20"/>
              </w:rPr>
              <w:t>.</w:t>
            </w:r>
          </w:p>
          <w:p w:rsidR="008D1263" w:rsidRPr="008D1263" w:rsidRDefault="008D1263" w:rsidP="00591ADB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Le terme surface au sol sera remplacé par surface de plancher</w:t>
            </w:r>
          </w:p>
        </w:tc>
      </w:tr>
      <w:tr w:rsidR="008D1263" w:rsidRPr="0029497E" w:rsidTr="00591ADB">
        <w:tc>
          <w:tcPr>
            <w:tcW w:w="4606" w:type="dxa"/>
            <w:shd w:val="clear" w:color="auto" w:fill="262626" w:themeFill="text1" w:themeFillTint="D9"/>
          </w:tcPr>
          <w:p w:rsidR="008D1263" w:rsidRPr="0029497E" w:rsidRDefault="008D1263" w:rsidP="00591ADB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29497E">
              <w:rPr>
                <w:rFonts w:ascii="Arial" w:eastAsia="Arial" w:hAnsi="Arial" w:cs="Arial"/>
                <w:b/>
                <w:color w:val="FFFFFF" w:themeColor="background1"/>
              </w:rPr>
              <w:t>CCI</w:t>
            </w:r>
          </w:p>
        </w:tc>
        <w:tc>
          <w:tcPr>
            <w:tcW w:w="4606" w:type="dxa"/>
            <w:shd w:val="clear" w:color="auto" w:fill="262626" w:themeFill="text1" w:themeFillTint="D9"/>
          </w:tcPr>
          <w:p w:rsidR="008D1263" w:rsidRPr="0029497E" w:rsidRDefault="008D1263" w:rsidP="00591ADB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29497E">
              <w:rPr>
                <w:rFonts w:ascii="Arial" w:eastAsia="Arial" w:hAnsi="Arial" w:cs="Arial"/>
                <w:b/>
                <w:color w:val="FFFFFF" w:themeColor="background1"/>
              </w:rPr>
              <w:t>PRISE EN COMPTE / MODIFICATIONS</w:t>
            </w:r>
          </w:p>
        </w:tc>
      </w:tr>
      <w:tr w:rsidR="008D1263" w:rsidTr="00591ADB">
        <w:tc>
          <w:tcPr>
            <w:tcW w:w="4606" w:type="dxa"/>
          </w:tcPr>
          <w:p w:rsidR="008D1263" w:rsidRDefault="008D1263" w:rsidP="00591ADB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:rsidR="008D1263" w:rsidRPr="000639A1" w:rsidRDefault="008D1263" w:rsidP="008D1263">
            <w:pPr>
              <w:jc w:val="both"/>
              <w:rPr>
                <w:rFonts w:ascii="Arial" w:eastAsia="Arial" w:hAnsi="Arial" w:cs="Arial"/>
                <w:sz w:val="20"/>
              </w:rPr>
            </w:pPr>
            <w:r w:rsidRPr="000639A1">
              <w:rPr>
                <w:rFonts w:ascii="Arial" w:eastAsia="Arial" w:hAnsi="Arial" w:cs="Arial"/>
                <w:sz w:val="20"/>
              </w:rPr>
              <w:t>Avis favorable de la CCI</w:t>
            </w:r>
          </w:p>
        </w:tc>
        <w:tc>
          <w:tcPr>
            <w:tcW w:w="4606" w:type="dxa"/>
          </w:tcPr>
          <w:p w:rsidR="008D1263" w:rsidRDefault="008D1263" w:rsidP="00591ADB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:rsidR="008D1263" w:rsidRDefault="00EC091F" w:rsidP="00591ADB">
            <w:pPr>
              <w:jc w:val="both"/>
              <w:rPr>
                <w:rFonts w:ascii="Arial" w:eastAsia="Arial" w:hAnsi="Arial" w:cs="Arial"/>
                <w:sz w:val="20"/>
              </w:rPr>
            </w:pPr>
            <w:r w:rsidRPr="00EC091F">
              <w:rPr>
                <w:rFonts w:ascii="Arial" w:eastAsia="Arial" w:hAnsi="Arial" w:cs="Arial"/>
                <w:sz w:val="20"/>
              </w:rPr>
              <w:t>Avis n’appelant pas de modification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D1263" w:rsidRDefault="008D1263" w:rsidP="00591ADB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0639A1" w:rsidRPr="0029497E" w:rsidTr="000639A1">
        <w:tc>
          <w:tcPr>
            <w:tcW w:w="4606" w:type="dxa"/>
            <w:tcBorders>
              <w:bottom w:val="single" w:sz="4" w:space="0" w:color="auto"/>
            </w:tcBorders>
            <w:shd w:val="clear" w:color="auto" w:fill="262626" w:themeFill="text1" w:themeFillTint="D9"/>
          </w:tcPr>
          <w:p w:rsidR="000639A1" w:rsidRPr="0029497E" w:rsidRDefault="000639A1" w:rsidP="00591ADB">
            <w:pPr>
              <w:jc w:val="center"/>
              <w:rPr>
                <w:rFonts w:ascii="Arial" w:eastAsia="Arial" w:hAnsi="Arial" w:cs="Arial"/>
                <w:b/>
              </w:rPr>
            </w:pPr>
            <w:r w:rsidRPr="0029497E">
              <w:rPr>
                <w:rFonts w:ascii="Arial" w:eastAsia="Arial" w:hAnsi="Arial" w:cs="Arial"/>
                <w:b/>
              </w:rPr>
              <w:t>INAQ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262626" w:themeFill="text1" w:themeFillTint="D9"/>
          </w:tcPr>
          <w:p w:rsidR="000639A1" w:rsidRPr="0029497E" w:rsidRDefault="000639A1" w:rsidP="00591ADB">
            <w:pPr>
              <w:jc w:val="center"/>
              <w:rPr>
                <w:rFonts w:ascii="Arial" w:eastAsia="Arial" w:hAnsi="Arial" w:cs="Arial"/>
                <w:b/>
              </w:rPr>
            </w:pPr>
            <w:r w:rsidRPr="0029497E">
              <w:rPr>
                <w:rFonts w:ascii="Arial" w:eastAsia="Arial" w:hAnsi="Arial" w:cs="Arial"/>
                <w:b/>
                <w:color w:val="FFFFFF" w:themeColor="background1"/>
              </w:rPr>
              <w:t>PRISE EN COMPTE / MODIFICATIONS</w:t>
            </w:r>
          </w:p>
        </w:tc>
      </w:tr>
      <w:tr w:rsidR="000639A1" w:rsidTr="000639A1">
        <w:tc>
          <w:tcPr>
            <w:tcW w:w="4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639A1" w:rsidRPr="000639A1" w:rsidRDefault="000639A1" w:rsidP="000639A1">
            <w:pPr>
              <w:jc w:val="both"/>
              <w:rPr>
                <w:rFonts w:ascii="Arial" w:eastAsia="Arial" w:hAnsi="Arial" w:cs="Arial"/>
                <w:sz w:val="20"/>
              </w:rPr>
            </w:pPr>
            <w:r w:rsidRPr="000639A1">
              <w:rPr>
                <w:rFonts w:ascii="Arial" w:eastAsia="Arial" w:hAnsi="Arial" w:cs="Arial"/>
                <w:sz w:val="20"/>
              </w:rPr>
              <w:t>Le zonage proposé ne porte pas atteinte aux parcelles classées en AOP « Jurançon » et « Béarn » et n’entame pas le potentiel de l’AOP « Ossau-</w:t>
            </w:r>
            <w:proofErr w:type="spellStart"/>
            <w:r w:rsidRPr="000639A1">
              <w:rPr>
                <w:rFonts w:ascii="Arial" w:eastAsia="Arial" w:hAnsi="Arial" w:cs="Arial"/>
                <w:sz w:val="20"/>
              </w:rPr>
              <w:t>Iraty</w:t>
            </w:r>
            <w:proofErr w:type="spellEnd"/>
            <w:r w:rsidRPr="000639A1">
              <w:rPr>
                <w:rFonts w:ascii="Arial" w:eastAsia="Arial" w:hAnsi="Arial" w:cs="Arial"/>
                <w:sz w:val="20"/>
              </w:rPr>
              <w:t> »</w:t>
            </w:r>
          </w:p>
          <w:p w:rsidR="000639A1" w:rsidRDefault="000639A1" w:rsidP="000639A1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639A1" w:rsidRDefault="00EC091F" w:rsidP="000639A1">
            <w:pPr>
              <w:rPr>
                <w:rFonts w:ascii="Arial" w:eastAsia="Arial" w:hAnsi="Arial" w:cs="Arial"/>
                <w:b/>
                <w:sz w:val="20"/>
              </w:rPr>
            </w:pPr>
            <w:r w:rsidRPr="00EC091F">
              <w:rPr>
                <w:rFonts w:ascii="Arial" w:eastAsia="Arial" w:hAnsi="Arial" w:cs="Arial"/>
                <w:sz w:val="20"/>
              </w:rPr>
              <w:t>Avis n’appelant pas de modification</w:t>
            </w:r>
          </w:p>
        </w:tc>
      </w:tr>
      <w:tr w:rsidR="000639A1" w:rsidRPr="0029497E" w:rsidTr="000639A1">
        <w:tc>
          <w:tcPr>
            <w:tcW w:w="4606" w:type="dxa"/>
            <w:tcBorders>
              <w:bottom w:val="single" w:sz="4" w:space="0" w:color="auto"/>
            </w:tcBorders>
            <w:shd w:val="clear" w:color="auto" w:fill="262626" w:themeFill="text1" w:themeFillTint="D9"/>
          </w:tcPr>
          <w:p w:rsidR="000639A1" w:rsidRPr="0029497E" w:rsidRDefault="000639A1" w:rsidP="00591ADB">
            <w:pPr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 w:rsidRPr="0029497E">
              <w:rPr>
                <w:rFonts w:ascii="Arial" w:eastAsia="Arial" w:hAnsi="Arial" w:cs="Arial"/>
                <w:b/>
              </w:rPr>
              <w:t>MRAe</w:t>
            </w:r>
            <w:proofErr w:type="spellEnd"/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262626" w:themeFill="text1" w:themeFillTint="D9"/>
          </w:tcPr>
          <w:p w:rsidR="000639A1" w:rsidRPr="0029497E" w:rsidRDefault="000639A1" w:rsidP="00591ADB">
            <w:pPr>
              <w:jc w:val="center"/>
              <w:rPr>
                <w:rFonts w:ascii="Arial" w:eastAsia="Arial" w:hAnsi="Arial" w:cs="Arial"/>
                <w:b/>
              </w:rPr>
            </w:pPr>
            <w:r w:rsidRPr="0029497E">
              <w:rPr>
                <w:rFonts w:ascii="Arial" w:eastAsia="Arial" w:hAnsi="Arial" w:cs="Arial"/>
                <w:b/>
              </w:rPr>
              <w:t>PRISE EN COMPTE / MODIFICATIONS</w:t>
            </w:r>
          </w:p>
        </w:tc>
      </w:tr>
      <w:tr w:rsidR="000639A1" w:rsidTr="000639A1">
        <w:tc>
          <w:tcPr>
            <w:tcW w:w="4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639A1" w:rsidRDefault="000639A1" w:rsidP="000639A1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Contexte général :</w:t>
            </w:r>
          </w:p>
          <w:p w:rsidR="000639A1" w:rsidRDefault="000639A1" w:rsidP="000639A1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0639A1">
              <w:rPr>
                <w:rFonts w:ascii="Arial" w:eastAsia="Arial" w:hAnsi="Arial" w:cs="Arial"/>
                <w:sz w:val="20"/>
              </w:rPr>
              <w:t>Manque d’explication sur le projet communal en matière d’accueil démographique, de construction de logements et de consommation d’espace</w:t>
            </w:r>
          </w:p>
          <w:p w:rsidR="000639A1" w:rsidRDefault="000639A1" w:rsidP="000639A1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Le manque d’explication quant à la mise en œuvre des orientations du PADD, notamment celle liée au confortement du bourg en tant site de développement</w:t>
            </w:r>
          </w:p>
          <w:p w:rsidR="000639A1" w:rsidRDefault="000639A1" w:rsidP="000639A1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L’insuffisance de l’analyse des incidences potentielles sur l’environnement…</w:t>
            </w:r>
          </w:p>
          <w:p w:rsidR="000639A1" w:rsidRPr="000639A1" w:rsidRDefault="000639A1" w:rsidP="000639A1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Une transposition peu opérationnelle de la volonté communale de protéger les éléments de la trame verte et bleue etc.</w:t>
            </w:r>
          </w:p>
          <w:p w:rsidR="000639A1" w:rsidRDefault="000639A1" w:rsidP="00591ADB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0639A1" w:rsidRDefault="000639A1" w:rsidP="000639A1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Evolution du contenu du rapport de présentation </w:t>
            </w:r>
          </w:p>
          <w:p w:rsidR="000639A1" w:rsidRDefault="000639A1" w:rsidP="000639A1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Remarques générales :</w:t>
            </w:r>
          </w:p>
          <w:p w:rsidR="000639A1" w:rsidRDefault="000639A1" w:rsidP="000639A1">
            <w:pPr>
              <w:jc w:val="both"/>
              <w:rPr>
                <w:rFonts w:ascii="Arial" w:eastAsia="Arial" w:hAnsi="Arial" w:cs="Arial"/>
                <w:sz w:val="20"/>
              </w:rPr>
            </w:pPr>
            <w:r w:rsidRPr="000639A1">
              <w:rPr>
                <w:rFonts w:ascii="Arial" w:eastAsia="Arial" w:hAnsi="Arial" w:cs="Arial"/>
                <w:sz w:val="20"/>
              </w:rPr>
              <w:t>Le résumé non technique doit être complété notamment au regard de l’absence de rappel du projet communal</w:t>
            </w:r>
          </w:p>
          <w:p w:rsidR="000639A1" w:rsidRDefault="000639A1" w:rsidP="000639A1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0639A1" w:rsidRDefault="000639A1" w:rsidP="000639A1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0639A1">
              <w:rPr>
                <w:rFonts w:ascii="Arial" w:eastAsia="Arial" w:hAnsi="Arial" w:cs="Arial"/>
                <w:b/>
                <w:sz w:val="20"/>
              </w:rPr>
              <w:t>Explications relatives au projet communal</w:t>
            </w:r>
          </w:p>
          <w:p w:rsidR="000639A1" w:rsidRDefault="000639A1" w:rsidP="000639A1">
            <w:pPr>
              <w:jc w:val="both"/>
              <w:rPr>
                <w:rFonts w:ascii="Arial" w:eastAsia="Arial" w:hAnsi="Arial" w:cs="Arial"/>
                <w:sz w:val="20"/>
              </w:rPr>
            </w:pPr>
            <w:r w:rsidRPr="000639A1">
              <w:rPr>
                <w:rFonts w:ascii="Arial" w:eastAsia="Arial" w:hAnsi="Arial" w:cs="Arial"/>
                <w:sz w:val="20"/>
              </w:rPr>
              <w:t xml:space="preserve">Explications suffisantes dans le rapport </w:t>
            </w:r>
          </w:p>
          <w:p w:rsidR="000639A1" w:rsidRPr="000639A1" w:rsidRDefault="000639A1" w:rsidP="000639A1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Le rapport de présentation ne contient pas d’éléments sur la pertinence des changements de destination. </w:t>
            </w:r>
          </w:p>
          <w:p w:rsidR="000639A1" w:rsidRDefault="000639A1" w:rsidP="00591ADB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0639A1" w:rsidRDefault="000639A1" w:rsidP="000639A1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Mise en œuvre du PADD</w:t>
            </w:r>
          </w:p>
          <w:p w:rsidR="000639A1" w:rsidRPr="00B9091E" w:rsidRDefault="000639A1" w:rsidP="00B9091E">
            <w:pPr>
              <w:jc w:val="both"/>
              <w:rPr>
                <w:rFonts w:ascii="Arial" w:eastAsia="Arial" w:hAnsi="Arial" w:cs="Arial"/>
                <w:sz w:val="20"/>
              </w:rPr>
            </w:pPr>
            <w:r w:rsidRPr="00B9091E">
              <w:rPr>
                <w:rFonts w:ascii="Arial" w:eastAsia="Arial" w:hAnsi="Arial" w:cs="Arial"/>
                <w:sz w:val="20"/>
              </w:rPr>
              <w:t>Il faudra apporter des explications montrant que l’ensemble des changements de destination</w:t>
            </w:r>
            <w:r w:rsidR="00B9091E" w:rsidRPr="00B9091E">
              <w:rPr>
                <w:rFonts w:ascii="Arial" w:eastAsia="Arial" w:hAnsi="Arial" w:cs="Arial"/>
                <w:sz w:val="20"/>
              </w:rPr>
              <w:t xml:space="preserve"> ne porte pas atteinte à l’objectif de « maintien de l’activité et de l’identité agricole de la commune.</w:t>
            </w:r>
          </w:p>
          <w:p w:rsidR="000639A1" w:rsidRDefault="000639A1" w:rsidP="00B9091E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83649A" w:rsidRDefault="0083649A" w:rsidP="00B9091E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B9091E" w:rsidRDefault="00B9091E" w:rsidP="00B9091E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Incidences potentielles du projet d’aménagement de loisirs à proximité du </w:t>
            </w:r>
          </w:p>
          <w:p w:rsidR="00B9091E" w:rsidRDefault="00B9091E" w:rsidP="00B9091E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Gave de Pau</w:t>
            </w:r>
          </w:p>
          <w:p w:rsidR="00B9091E" w:rsidRPr="00B9091E" w:rsidRDefault="00B9091E" w:rsidP="00B9091E">
            <w:pPr>
              <w:jc w:val="both"/>
              <w:rPr>
                <w:rFonts w:ascii="Arial" w:eastAsia="Arial" w:hAnsi="Arial" w:cs="Arial"/>
                <w:sz w:val="20"/>
              </w:rPr>
            </w:pPr>
            <w:r w:rsidRPr="00B9091E">
              <w:rPr>
                <w:rFonts w:ascii="Arial" w:eastAsia="Arial" w:hAnsi="Arial" w:cs="Arial"/>
                <w:sz w:val="20"/>
              </w:rPr>
              <w:t xml:space="preserve">Le rapport de présentation doit apporter une explication sur les incidences de ce projet sur le site </w:t>
            </w:r>
            <w:proofErr w:type="spellStart"/>
            <w:r w:rsidRPr="00B9091E">
              <w:rPr>
                <w:rFonts w:ascii="Arial" w:eastAsia="Arial" w:hAnsi="Arial" w:cs="Arial"/>
                <w:sz w:val="20"/>
              </w:rPr>
              <w:t>Natura</w:t>
            </w:r>
            <w:proofErr w:type="spellEnd"/>
            <w:r w:rsidRPr="00B9091E">
              <w:rPr>
                <w:rFonts w:ascii="Arial" w:eastAsia="Arial" w:hAnsi="Arial" w:cs="Arial"/>
                <w:sz w:val="20"/>
              </w:rPr>
              <w:t xml:space="preserve"> 2000</w:t>
            </w:r>
            <w:r>
              <w:rPr>
                <w:rFonts w:ascii="Arial" w:eastAsia="Arial" w:hAnsi="Arial" w:cs="Arial"/>
                <w:sz w:val="20"/>
              </w:rPr>
              <w:t xml:space="preserve"> au stade du document de planification, sans préjudice des éventuelles obligations de réalisation d’une étude d’impact</w:t>
            </w:r>
          </w:p>
          <w:p w:rsidR="00B9091E" w:rsidRDefault="00B9091E" w:rsidP="00B9091E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B9091E" w:rsidRDefault="00B9091E" w:rsidP="00B9091E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Prise en compte de la Trame Verte et Bleue</w:t>
            </w:r>
          </w:p>
          <w:p w:rsidR="00B9091E" w:rsidRDefault="00B9091E" w:rsidP="00B9091E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Pas d’observation </w:t>
            </w:r>
          </w:p>
          <w:p w:rsidR="00B9091E" w:rsidRDefault="00B9091E" w:rsidP="00B9091E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B9091E" w:rsidRPr="00B9091E" w:rsidRDefault="00B9091E" w:rsidP="00B9091E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Prise en compte de l’</w:t>
            </w:r>
            <w:r>
              <w:rPr>
                <w:rFonts w:ascii="Arial" w:eastAsia="Arial" w:hAnsi="Arial" w:cs="Arial"/>
                <w:b/>
                <w:sz w:val="20"/>
              </w:rPr>
              <w:t>assainissement des eaux usées</w:t>
            </w:r>
          </w:p>
          <w:p w:rsidR="00B9091E" w:rsidRPr="00B9091E" w:rsidRDefault="00B9091E" w:rsidP="00B9091E">
            <w:pPr>
              <w:jc w:val="both"/>
              <w:rPr>
                <w:rFonts w:ascii="Arial" w:eastAsia="Arial" w:hAnsi="Arial" w:cs="Arial"/>
                <w:sz w:val="20"/>
              </w:rPr>
            </w:pPr>
            <w:r w:rsidRPr="00B9091E">
              <w:rPr>
                <w:rFonts w:ascii="Arial" w:eastAsia="Arial" w:hAnsi="Arial" w:cs="Arial"/>
                <w:sz w:val="20"/>
              </w:rPr>
              <w:t xml:space="preserve">Le choix du hameau de </w:t>
            </w:r>
            <w:proofErr w:type="spellStart"/>
            <w:r w:rsidRPr="00B9091E">
              <w:rPr>
                <w:rFonts w:ascii="Arial" w:eastAsia="Arial" w:hAnsi="Arial" w:cs="Arial"/>
                <w:sz w:val="20"/>
              </w:rPr>
              <w:t>Camet</w:t>
            </w:r>
            <w:proofErr w:type="spellEnd"/>
            <w:r w:rsidRPr="00B9091E">
              <w:rPr>
                <w:rFonts w:ascii="Arial" w:eastAsia="Arial" w:hAnsi="Arial" w:cs="Arial"/>
                <w:sz w:val="20"/>
              </w:rPr>
              <w:t xml:space="preserve"> doit davantage être justifiée au regard de la problématique de gestion des eaux usées à cause de la proximité d’un ruisseau alimentant La </w:t>
            </w:r>
            <w:proofErr w:type="spellStart"/>
            <w:r w:rsidRPr="00B9091E">
              <w:rPr>
                <w:rFonts w:ascii="Arial" w:eastAsia="Arial" w:hAnsi="Arial" w:cs="Arial"/>
                <w:sz w:val="20"/>
              </w:rPr>
              <w:t>Bayssière</w:t>
            </w:r>
            <w:proofErr w:type="spellEnd"/>
            <w:r w:rsidRPr="00B9091E">
              <w:rPr>
                <w:rFonts w:ascii="Arial" w:eastAsia="Arial" w:hAnsi="Arial" w:cs="Arial"/>
                <w:sz w:val="20"/>
              </w:rPr>
              <w:t xml:space="preserve">, affluent de la </w:t>
            </w:r>
            <w:proofErr w:type="spellStart"/>
            <w:r w:rsidRPr="00B9091E">
              <w:rPr>
                <w:rFonts w:ascii="Arial" w:eastAsia="Arial" w:hAnsi="Arial" w:cs="Arial"/>
                <w:sz w:val="20"/>
              </w:rPr>
              <w:t>Bayse</w:t>
            </w:r>
            <w:proofErr w:type="spellEnd"/>
          </w:p>
          <w:p w:rsidR="00B9091E" w:rsidRDefault="00B9091E" w:rsidP="00B9091E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639A1" w:rsidRDefault="000639A1" w:rsidP="00591ADB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0639A1" w:rsidRDefault="000639A1" w:rsidP="000639A1">
            <w:pPr>
              <w:jc w:val="both"/>
              <w:rPr>
                <w:rFonts w:ascii="Arial" w:eastAsia="Arial" w:hAnsi="Arial" w:cs="Arial"/>
                <w:sz w:val="20"/>
              </w:rPr>
            </w:pPr>
            <w:r w:rsidRPr="000639A1">
              <w:rPr>
                <w:rFonts w:ascii="Arial" w:eastAsia="Arial" w:hAnsi="Arial" w:cs="Arial"/>
                <w:sz w:val="20"/>
              </w:rPr>
              <w:t>Ces observations seront prises en compte dans le rapport de présentation</w:t>
            </w:r>
          </w:p>
          <w:p w:rsidR="000639A1" w:rsidRDefault="000639A1" w:rsidP="000639A1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0639A1" w:rsidRDefault="000639A1" w:rsidP="000639A1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0639A1" w:rsidRDefault="000639A1" w:rsidP="000639A1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0639A1" w:rsidRDefault="000639A1" w:rsidP="000639A1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0639A1" w:rsidRDefault="000639A1" w:rsidP="000639A1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0639A1" w:rsidRDefault="000639A1" w:rsidP="000639A1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0639A1" w:rsidRDefault="000639A1" w:rsidP="000639A1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0639A1" w:rsidRDefault="000639A1" w:rsidP="000639A1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0639A1" w:rsidRDefault="000639A1" w:rsidP="000639A1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0639A1" w:rsidRDefault="000639A1" w:rsidP="000639A1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0639A1" w:rsidRDefault="000639A1" w:rsidP="000639A1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0639A1" w:rsidRDefault="000639A1" w:rsidP="000639A1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0639A1" w:rsidRDefault="000639A1" w:rsidP="000639A1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0639A1" w:rsidRDefault="000639A1" w:rsidP="000639A1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0639A1" w:rsidRDefault="000639A1" w:rsidP="000639A1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0639A1" w:rsidRDefault="000639A1" w:rsidP="000639A1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0639A1" w:rsidRDefault="000639A1" w:rsidP="000639A1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Le résumé non technique sera complété</w:t>
            </w:r>
          </w:p>
          <w:p w:rsidR="000639A1" w:rsidRDefault="000639A1" w:rsidP="000639A1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0639A1" w:rsidRDefault="000639A1" w:rsidP="000639A1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0639A1" w:rsidRDefault="000639A1" w:rsidP="000639A1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0639A1" w:rsidRDefault="000639A1" w:rsidP="000639A1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0639A1" w:rsidRDefault="000639A1" w:rsidP="000639A1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Pas d’observation</w:t>
            </w:r>
          </w:p>
          <w:p w:rsidR="000639A1" w:rsidRDefault="000639A1" w:rsidP="000639A1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Ces informations complémentaires seront apportées dans le rapport de présentation sur les changements de destination</w:t>
            </w:r>
          </w:p>
          <w:p w:rsidR="00B9091E" w:rsidRDefault="00B9091E" w:rsidP="000639A1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B9091E" w:rsidRDefault="00B9091E" w:rsidP="000639A1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B9091E" w:rsidRDefault="00B9091E" w:rsidP="000639A1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Cette information sera ajoutée dans le rapport de présentation</w:t>
            </w:r>
          </w:p>
          <w:p w:rsidR="00B9091E" w:rsidRDefault="00B9091E" w:rsidP="000639A1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B9091E" w:rsidRDefault="00B9091E" w:rsidP="000639A1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B9091E" w:rsidRDefault="00B9091E" w:rsidP="000639A1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B9091E" w:rsidRDefault="00B9091E" w:rsidP="000639A1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B9091E" w:rsidRDefault="00B9091E" w:rsidP="000639A1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B9091E" w:rsidRDefault="00B9091E" w:rsidP="000639A1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B9091E" w:rsidRDefault="00B9091E" w:rsidP="000639A1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L’analyse sur les incidences du projet de la zone de loisirs sur le site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Natura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2000 sera approfondie dans le rapport de présentation</w:t>
            </w:r>
          </w:p>
          <w:p w:rsidR="00B9091E" w:rsidRDefault="00B9091E" w:rsidP="000639A1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B9091E" w:rsidRDefault="00B9091E" w:rsidP="000639A1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B9091E" w:rsidRDefault="00B9091E" w:rsidP="000639A1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B9091E" w:rsidRDefault="00EC091F" w:rsidP="000639A1">
            <w:pPr>
              <w:jc w:val="both"/>
              <w:rPr>
                <w:rFonts w:ascii="Arial" w:eastAsia="Arial" w:hAnsi="Arial" w:cs="Arial"/>
                <w:sz w:val="20"/>
              </w:rPr>
            </w:pPr>
            <w:r w:rsidRPr="00EC091F">
              <w:rPr>
                <w:rFonts w:ascii="Arial" w:eastAsia="Arial" w:hAnsi="Arial" w:cs="Arial"/>
                <w:sz w:val="20"/>
              </w:rPr>
              <w:t>Avis n’appelant pas de modification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9091E" w:rsidRDefault="00B9091E" w:rsidP="000639A1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B9091E" w:rsidRDefault="00B9091E" w:rsidP="000639A1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B9091E" w:rsidRDefault="00B9091E" w:rsidP="000639A1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B9091E" w:rsidRDefault="00B9091E" w:rsidP="000639A1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B9091E" w:rsidRPr="000639A1" w:rsidRDefault="00B9091E" w:rsidP="000639A1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Cette information sera apportée dans le rapport de présentation</w:t>
            </w:r>
          </w:p>
        </w:tc>
      </w:tr>
      <w:tr w:rsidR="000639A1" w:rsidRPr="0083649A" w:rsidTr="00591ADB">
        <w:tc>
          <w:tcPr>
            <w:tcW w:w="4606" w:type="dxa"/>
            <w:tcBorders>
              <w:bottom w:val="single" w:sz="4" w:space="0" w:color="auto"/>
            </w:tcBorders>
            <w:shd w:val="clear" w:color="auto" w:fill="262626" w:themeFill="text1" w:themeFillTint="D9"/>
          </w:tcPr>
          <w:p w:rsidR="000639A1" w:rsidRPr="0083649A" w:rsidRDefault="000639A1" w:rsidP="00591ADB">
            <w:pPr>
              <w:jc w:val="center"/>
              <w:rPr>
                <w:rFonts w:ascii="Arial" w:eastAsia="Arial" w:hAnsi="Arial" w:cs="Arial"/>
                <w:b/>
              </w:rPr>
            </w:pPr>
            <w:r w:rsidRPr="0083649A">
              <w:rPr>
                <w:rFonts w:ascii="Arial" w:eastAsia="Arial" w:hAnsi="Arial" w:cs="Arial"/>
                <w:b/>
              </w:rPr>
              <w:lastRenderedPageBreak/>
              <w:t>CHAMBRE D’AGRICULTURE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262626" w:themeFill="text1" w:themeFillTint="D9"/>
          </w:tcPr>
          <w:p w:rsidR="000639A1" w:rsidRPr="0083649A" w:rsidRDefault="000639A1" w:rsidP="00591ADB">
            <w:pPr>
              <w:jc w:val="center"/>
              <w:rPr>
                <w:rFonts w:ascii="Arial" w:eastAsia="Arial" w:hAnsi="Arial" w:cs="Arial"/>
                <w:b/>
              </w:rPr>
            </w:pPr>
            <w:r w:rsidRPr="0083649A">
              <w:rPr>
                <w:rFonts w:ascii="Arial" w:eastAsia="Arial" w:hAnsi="Arial" w:cs="Arial"/>
                <w:b/>
              </w:rPr>
              <w:t>PRISE EN COMPTE / MODIFICATIONS</w:t>
            </w:r>
          </w:p>
        </w:tc>
      </w:tr>
      <w:tr w:rsidR="000639A1" w:rsidTr="00591ADB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0639A1" w:rsidRDefault="00B9091E" w:rsidP="00591ADB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Avis favorable sur le projet de PLU.</w:t>
            </w:r>
          </w:p>
          <w:p w:rsidR="000639A1" w:rsidRDefault="000639A1" w:rsidP="00591ADB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:rsidR="000639A1" w:rsidRDefault="000639A1" w:rsidP="00B9091E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0639A1" w:rsidRDefault="00EC091F" w:rsidP="00591ADB">
            <w:pPr>
              <w:jc w:val="both"/>
              <w:rPr>
                <w:rFonts w:ascii="Arial" w:eastAsia="Arial" w:hAnsi="Arial" w:cs="Arial"/>
                <w:sz w:val="20"/>
              </w:rPr>
            </w:pPr>
            <w:r w:rsidRPr="00EC091F">
              <w:rPr>
                <w:rFonts w:ascii="Arial" w:eastAsia="Arial" w:hAnsi="Arial" w:cs="Arial"/>
                <w:sz w:val="20"/>
              </w:rPr>
              <w:t>Avis n’appelant pas de modification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0639A1" w:rsidRDefault="000639A1" w:rsidP="00591ADB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0639A1" w:rsidRPr="0083649A" w:rsidTr="00591ADB">
        <w:tc>
          <w:tcPr>
            <w:tcW w:w="4606" w:type="dxa"/>
            <w:tcBorders>
              <w:top w:val="single" w:sz="4" w:space="0" w:color="auto"/>
            </w:tcBorders>
            <w:shd w:val="clear" w:color="auto" w:fill="262626" w:themeFill="text1" w:themeFillTint="D9"/>
          </w:tcPr>
          <w:p w:rsidR="000639A1" w:rsidRPr="0083649A" w:rsidRDefault="00B9091E" w:rsidP="00591ADB">
            <w:pPr>
              <w:jc w:val="center"/>
              <w:rPr>
                <w:rFonts w:ascii="Arial" w:eastAsia="Arial" w:hAnsi="Arial" w:cs="Arial"/>
                <w:b/>
              </w:rPr>
            </w:pPr>
            <w:r w:rsidRPr="0083649A">
              <w:rPr>
                <w:rFonts w:ascii="Arial" w:eastAsia="Arial" w:hAnsi="Arial" w:cs="Arial"/>
                <w:b/>
              </w:rPr>
              <w:t>RTE</w:t>
            </w: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262626" w:themeFill="text1" w:themeFillTint="D9"/>
          </w:tcPr>
          <w:p w:rsidR="000639A1" w:rsidRPr="0083649A" w:rsidRDefault="000639A1" w:rsidP="00591ADB">
            <w:pPr>
              <w:jc w:val="center"/>
              <w:rPr>
                <w:rFonts w:ascii="Arial" w:eastAsia="Arial" w:hAnsi="Arial" w:cs="Arial"/>
                <w:b/>
              </w:rPr>
            </w:pPr>
            <w:r w:rsidRPr="0083649A">
              <w:rPr>
                <w:rFonts w:ascii="Arial" w:eastAsia="Arial" w:hAnsi="Arial" w:cs="Arial"/>
                <w:b/>
              </w:rPr>
              <w:t>PRISE EN COMPTE / MODIFICATIONS</w:t>
            </w:r>
          </w:p>
        </w:tc>
      </w:tr>
      <w:tr w:rsidR="000639A1" w:rsidTr="00591ADB">
        <w:tc>
          <w:tcPr>
            <w:tcW w:w="4606" w:type="dxa"/>
          </w:tcPr>
          <w:p w:rsidR="000639A1" w:rsidRDefault="000639A1" w:rsidP="00591ADB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:rsidR="000639A1" w:rsidRDefault="00B9091E" w:rsidP="00B9091E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Annexe concernant les servitudes I4</w:t>
            </w:r>
          </w:p>
          <w:p w:rsidR="00B9091E" w:rsidRDefault="00B9091E" w:rsidP="00B9091E">
            <w:pPr>
              <w:jc w:val="both"/>
              <w:rPr>
                <w:rFonts w:ascii="Arial" w:eastAsia="Arial" w:hAnsi="Arial" w:cs="Arial"/>
                <w:sz w:val="20"/>
              </w:rPr>
            </w:pPr>
            <w:r w:rsidRPr="00B9091E">
              <w:rPr>
                <w:rFonts w:ascii="Arial" w:eastAsia="Arial" w:hAnsi="Arial" w:cs="Arial"/>
                <w:sz w:val="20"/>
              </w:rPr>
              <w:t>Le plan de la servitude est partiellement bien représenté</w:t>
            </w:r>
            <w:r w:rsidR="00EC091F"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EC091F" w:rsidRPr="00B9091E" w:rsidRDefault="00EC091F" w:rsidP="00B9091E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Les éléments concernant la servitude I4 devront figurer en annexe du PLU</w:t>
            </w:r>
          </w:p>
          <w:p w:rsidR="00B9091E" w:rsidRDefault="00B9091E" w:rsidP="00B9091E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:rsidR="00EC091F" w:rsidRDefault="00EC091F" w:rsidP="00B9091E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Le document graphique du PLU</w:t>
            </w:r>
          </w:p>
          <w:p w:rsidR="00EC091F" w:rsidRDefault="00EC091F" w:rsidP="00B9091E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Espace boisé classé </w:t>
            </w:r>
          </w:p>
          <w:p w:rsidR="00EC091F" w:rsidRPr="00EC091F" w:rsidRDefault="00EC091F" w:rsidP="00B9091E">
            <w:pPr>
              <w:jc w:val="both"/>
              <w:rPr>
                <w:rFonts w:ascii="Arial" w:eastAsia="Arial" w:hAnsi="Arial" w:cs="Arial"/>
                <w:sz w:val="20"/>
              </w:rPr>
            </w:pPr>
            <w:r w:rsidRPr="00EC091F">
              <w:rPr>
                <w:rFonts w:ascii="Arial" w:eastAsia="Arial" w:hAnsi="Arial" w:cs="Arial"/>
                <w:sz w:val="20"/>
              </w:rPr>
              <w:t>Une partie de la servitude I4 est située dans un espace boisé classé.</w:t>
            </w:r>
          </w:p>
          <w:p w:rsidR="00B9091E" w:rsidRDefault="00B9091E" w:rsidP="00B9091E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:rsidR="00B9091E" w:rsidRDefault="00EC091F" w:rsidP="00B9091E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Le règlement</w:t>
            </w:r>
          </w:p>
          <w:p w:rsidR="00EC091F" w:rsidRDefault="00EC091F" w:rsidP="00B9091E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Plus généralement, indiquer dans les zones A et N</w:t>
            </w:r>
          </w:p>
          <w:p w:rsidR="00EC091F" w:rsidRPr="00EC091F" w:rsidRDefault="00EC091F" w:rsidP="00EC091F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EC091F">
              <w:rPr>
                <w:rFonts w:ascii="Arial" w:eastAsia="Arial" w:hAnsi="Arial" w:cs="Arial"/>
                <w:sz w:val="20"/>
              </w:rPr>
              <w:t>Que les règles de prospect et d’implantation ne sont pas applicables aux lignes de transport d’électricité « HTB » (50 000 Volts) faisant l’objet d’un report dans les documents graphiques et mentionnés dans la liste des servitudes.</w:t>
            </w:r>
          </w:p>
          <w:p w:rsidR="00EC091F" w:rsidRPr="00EC091F" w:rsidRDefault="00EC091F" w:rsidP="00EC091F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EC091F">
              <w:rPr>
                <w:rFonts w:ascii="Arial" w:eastAsia="Arial" w:hAnsi="Arial" w:cs="Arial"/>
                <w:sz w:val="20"/>
              </w:rPr>
              <w:t>Que les ouvrages de Transport d’Electricité « HTB » sont admis et que RTE a la possibilité de les modifier ou de les surélever pour des exigences fonctionnelles ou/et techniques</w:t>
            </w:r>
          </w:p>
          <w:p w:rsidR="00EC091F" w:rsidRDefault="00EC091F" w:rsidP="00B9091E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4606" w:type="dxa"/>
          </w:tcPr>
          <w:p w:rsidR="000639A1" w:rsidRDefault="000639A1" w:rsidP="00591ADB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:rsidR="00EC091F" w:rsidRDefault="00EC091F" w:rsidP="00591ADB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0639A1" w:rsidRDefault="00EC091F" w:rsidP="00EC091F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La servitude sera complétée</w:t>
            </w:r>
            <w:r w:rsidR="000639A1" w:rsidRPr="00AD3855">
              <w:rPr>
                <w:rFonts w:ascii="Arial" w:eastAsia="Arial" w:hAnsi="Arial" w:cs="Arial"/>
                <w:sz w:val="20"/>
              </w:rPr>
              <w:t>.</w:t>
            </w:r>
          </w:p>
          <w:p w:rsidR="00EC091F" w:rsidRDefault="00EC091F" w:rsidP="00EC091F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Les annexes seront ajoutées en annexe du PLU</w:t>
            </w:r>
          </w:p>
          <w:p w:rsidR="00EC091F" w:rsidRDefault="00EC091F" w:rsidP="00EC091F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EC091F" w:rsidRDefault="00EC091F" w:rsidP="00EC091F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EC091F" w:rsidRDefault="00EC091F" w:rsidP="00EC091F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EC091F" w:rsidRDefault="00EC091F" w:rsidP="00EC091F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EC091F" w:rsidRDefault="00EC091F" w:rsidP="00EC091F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EC091F" w:rsidRDefault="00EC091F" w:rsidP="00EC091F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Cette remarque sera prise en compte dans le document graphique</w:t>
            </w:r>
          </w:p>
          <w:p w:rsidR="00EC091F" w:rsidRDefault="00EC091F" w:rsidP="00EC091F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EC091F" w:rsidRDefault="00EC091F" w:rsidP="00EC091F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EC091F" w:rsidRPr="00AD3855" w:rsidRDefault="00EC091F" w:rsidP="00EC091F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Cette remarque sera prise en compte dans le règlement écr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</w:rPr>
              <w:t>it du PLU</w:t>
            </w:r>
          </w:p>
        </w:tc>
      </w:tr>
      <w:tr w:rsidR="000639A1" w:rsidRPr="0083649A" w:rsidTr="00591ADB">
        <w:tc>
          <w:tcPr>
            <w:tcW w:w="4606" w:type="dxa"/>
            <w:shd w:val="clear" w:color="auto" w:fill="262626" w:themeFill="text1" w:themeFillTint="D9"/>
          </w:tcPr>
          <w:p w:rsidR="000639A1" w:rsidRPr="0083649A" w:rsidRDefault="00EC091F" w:rsidP="00591ADB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83649A">
              <w:rPr>
                <w:rFonts w:ascii="Arial" w:eastAsia="Arial" w:hAnsi="Arial" w:cs="Arial"/>
                <w:b/>
                <w:color w:val="FFFFFF" w:themeColor="background1"/>
              </w:rPr>
              <w:t>TIGF</w:t>
            </w:r>
          </w:p>
        </w:tc>
        <w:tc>
          <w:tcPr>
            <w:tcW w:w="4606" w:type="dxa"/>
            <w:shd w:val="clear" w:color="auto" w:fill="262626" w:themeFill="text1" w:themeFillTint="D9"/>
          </w:tcPr>
          <w:p w:rsidR="000639A1" w:rsidRPr="0083649A" w:rsidRDefault="000639A1" w:rsidP="00591ADB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83649A">
              <w:rPr>
                <w:rFonts w:ascii="Arial" w:eastAsia="Arial" w:hAnsi="Arial" w:cs="Arial"/>
                <w:b/>
                <w:color w:val="FFFFFF" w:themeColor="background1"/>
              </w:rPr>
              <w:t>PRISE EN COMPTE / MODIFICATIONS</w:t>
            </w:r>
          </w:p>
        </w:tc>
      </w:tr>
      <w:tr w:rsidR="000639A1" w:rsidTr="00591ADB">
        <w:tc>
          <w:tcPr>
            <w:tcW w:w="4606" w:type="dxa"/>
          </w:tcPr>
          <w:p w:rsidR="000639A1" w:rsidRDefault="000639A1" w:rsidP="00591ADB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:rsidR="000639A1" w:rsidRDefault="00EC091F" w:rsidP="00591ADB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TIGF n’a aucune canalisation sur la commune</w:t>
            </w:r>
          </w:p>
          <w:p w:rsidR="00EC091F" w:rsidRDefault="00EC091F" w:rsidP="00591ADB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Pas de projet d’intérêt général sur la commune</w:t>
            </w:r>
          </w:p>
          <w:p w:rsidR="000639A1" w:rsidRPr="00A80D33" w:rsidRDefault="000639A1" w:rsidP="00591ADB">
            <w:pPr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06" w:type="dxa"/>
          </w:tcPr>
          <w:p w:rsidR="000639A1" w:rsidRDefault="000639A1" w:rsidP="00591ADB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:rsidR="000639A1" w:rsidRPr="00EC091F" w:rsidRDefault="000639A1" w:rsidP="00591ADB">
            <w:pPr>
              <w:jc w:val="both"/>
              <w:rPr>
                <w:rFonts w:ascii="Arial" w:eastAsia="Arial" w:hAnsi="Arial" w:cs="Arial"/>
                <w:sz w:val="20"/>
              </w:rPr>
            </w:pPr>
            <w:r w:rsidRPr="00EC091F">
              <w:rPr>
                <w:rFonts w:ascii="Arial" w:eastAsia="Arial" w:hAnsi="Arial" w:cs="Arial"/>
                <w:sz w:val="20"/>
              </w:rPr>
              <w:t>Avis n’appelant pas de modification</w:t>
            </w:r>
          </w:p>
        </w:tc>
      </w:tr>
    </w:tbl>
    <w:p w:rsidR="008D1263" w:rsidRPr="004D48E4" w:rsidRDefault="008D1263" w:rsidP="008D1263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:rsidR="00E500C6" w:rsidRDefault="00E500C6"/>
    <w:sectPr w:rsidR="00E500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35C" w:rsidRDefault="001D035C" w:rsidP="0083649A">
      <w:pPr>
        <w:spacing w:after="0" w:line="240" w:lineRule="auto"/>
      </w:pPr>
      <w:r>
        <w:separator/>
      </w:r>
    </w:p>
  </w:endnote>
  <w:endnote w:type="continuationSeparator" w:id="0">
    <w:p w:rsidR="001D035C" w:rsidRDefault="001D035C" w:rsidP="0083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Gra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651322"/>
      <w:docPartObj>
        <w:docPartGallery w:val="Page Numbers (Bottom of Page)"/>
        <w:docPartUnique/>
      </w:docPartObj>
    </w:sdtPr>
    <w:sdtContent>
      <w:p w:rsidR="0083649A" w:rsidRDefault="0083649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3649A" w:rsidRDefault="0083649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35C" w:rsidRDefault="001D035C" w:rsidP="0083649A">
      <w:pPr>
        <w:spacing w:after="0" w:line="240" w:lineRule="auto"/>
      </w:pPr>
      <w:r>
        <w:separator/>
      </w:r>
    </w:p>
  </w:footnote>
  <w:footnote w:type="continuationSeparator" w:id="0">
    <w:p w:rsidR="001D035C" w:rsidRDefault="001D035C" w:rsidP="00836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4AE0"/>
    <w:multiLevelType w:val="hybridMultilevel"/>
    <w:tmpl w:val="BF64198A"/>
    <w:lvl w:ilvl="0" w:tplc="BFBC0340">
      <w:start w:val="1"/>
      <w:numFmt w:val="decimal"/>
      <w:pStyle w:val="Titre1"/>
      <w:lvlText w:val="Article N-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A62D1"/>
    <w:multiLevelType w:val="hybridMultilevel"/>
    <w:tmpl w:val="56A21876"/>
    <w:lvl w:ilvl="0" w:tplc="6FF6903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63"/>
    <w:rsid w:val="000639A1"/>
    <w:rsid w:val="001D035C"/>
    <w:rsid w:val="0029497E"/>
    <w:rsid w:val="0083649A"/>
    <w:rsid w:val="008D1263"/>
    <w:rsid w:val="00B9091E"/>
    <w:rsid w:val="00BF6CFB"/>
    <w:rsid w:val="00C70E01"/>
    <w:rsid w:val="00CB7D95"/>
    <w:rsid w:val="00D46A54"/>
    <w:rsid w:val="00E500C6"/>
    <w:rsid w:val="00EC091F"/>
    <w:rsid w:val="00F7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63"/>
    <w:rPr>
      <w:rFonts w:eastAsiaTheme="minorEastAsia"/>
      <w:lang w:eastAsia="fr-FR"/>
    </w:rPr>
  </w:style>
  <w:style w:type="paragraph" w:styleId="Titre1">
    <w:name w:val="heading 1"/>
    <w:aliases w:val="Zone N"/>
    <w:basedOn w:val="Normal"/>
    <w:next w:val="Normal"/>
    <w:link w:val="Titre1Car"/>
    <w:autoRedefine/>
    <w:qFormat/>
    <w:rsid w:val="00CB7D95"/>
    <w:pPr>
      <w:keepNext/>
      <w:framePr w:wrap="notBeside" w:vAnchor="text" w:hAnchor="text" w:y="1"/>
      <w:numPr>
        <w:numId w:val="3"/>
      </w:numPr>
      <w:suppressAutoHyphens/>
      <w:overflowPunct w:val="0"/>
      <w:autoSpaceDE w:val="0"/>
      <w:spacing w:before="120" w:after="120" w:line="240" w:lineRule="auto"/>
      <w:textAlignment w:val="baseline"/>
      <w:outlineLvl w:val="0"/>
    </w:pPr>
    <w:rPr>
      <w:rFonts w:ascii="Arial Gras" w:eastAsia="Times New Roman" w:hAnsi="Arial Gras" w:cs="Times New Roman"/>
      <w:b/>
      <w:kern w:val="22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qFormat/>
    <w:rsid w:val="00BF6CFB"/>
    <w:pPr>
      <w:pBdr>
        <w:bottom w:val="single" w:sz="8" w:space="4" w:color="4F81BD" w:themeColor="accent1"/>
      </w:pBdr>
      <w:suppressAutoHyphens/>
      <w:overflowPunct w:val="0"/>
      <w:autoSpaceDE w:val="0"/>
      <w:spacing w:after="300" w:line="240" w:lineRule="auto"/>
      <w:contextualSpacing/>
      <w:textAlignment w:val="baseline"/>
    </w:pPr>
    <w:rPr>
      <w:rFonts w:ascii="Arial" w:eastAsiaTheme="majorEastAsia" w:hAnsi="Arial" w:cstheme="majorBidi"/>
      <w:spacing w:val="5"/>
      <w:kern w:val="28"/>
      <w:sz w:val="28"/>
      <w:szCs w:val="52"/>
      <w:lang w:eastAsia="ar-SA"/>
    </w:rPr>
  </w:style>
  <w:style w:type="character" w:customStyle="1" w:styleId="TitreCar">
    <w:name w:val="Titre Car"/>
    <w:basedOn w:val="Policepardfaut"/>
    <w:link w:val="Titre"/>
    <w:rsid w:val="00BF6CFB"/>
    <w:rPr>
      <w:rFonts w:ascii="Arial" w:eastAsiaTheme="majorEastAsia" w:hAnsi="Arial" w:cstheme="majorBidi"/>
      <w:spacing w:val="5"/>
      <w:kern w:val="28"/>
      <w:sz w:val="28"/>
      <w:szCs w:val="52"/>
      <w:lang w:eastAsia="ar-SA"/>
    </w:rPr>
  </w:style>
  <w:style w:type="character" w:customStyle="1" w:styleId="Titre1Car">
    <w:name w:val="Titre 1 Car"/>
    <w:aliases w:val="Zone N Car"/>
    <w:basedOn w:val="Policepardfaut"/>
    <w:link w:val="Titre1"/>
    <w:rsid w:val="00CB7D95"/>
    <w:rPr>
      <w:rFonts w:ascii="Arial Gras" w:eastAsia="Times New Roman" w:hAnsi="Arial Gras" w:cs="Times New Roman"/>
      <w:b/>
      <w:kern w:val="22"/>
      <w:szCs w:val="24"/>
      <w:lang w:eastAsia="ar-SA"/>
    </w:rPr>
  </w:style>
  <w:style w:type="table" w:styleId="Grilledutableau">
    <w:name w:val="Table Grid"/>
    <w:basedOn w:val="TableauNormal"/>
    <w:uiPriority w:val="59"/>
    <w:rsid w:val="008D1263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639A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36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649A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36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649A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63"/>
    <w:rPr>
      <w:rFonts w:eastAsiaTheme="minorEastAsia"/>
      <w:lang w:eastAsia="fr-FR"/>
    </w:rPr>
  </w:style>
  <w:style w:type="paragraph" w:styleId="Titre1">
    <w:name w:val="heading 1"/>
    <w:aliases w:val="Zone N"/>
    <w:basedOn w:val="Normal"/>
    <w:next w:val="Normal"/>
    <w:link w:val="Titre1Car"/>
    <w:autoRedefine/>
    <w:qFormat/>
    <w:rsid w:val="00CB7D95"/>
    <w:pPr>
      <w:keepNext/>
      <w:framePr w:wrap="notBeside" w:vAnchor="text" w:hAnchor="text" w:y="1"/>
      <w:numPr>
        <w:numId w:val="3"/>
      </w:numPr>
      <w:suppressAutoHyphens/>
      <w:overflowPunct w:val="0"/>
      <w:autoSpaceDE w:val="0"/>
      <w:spacing w:before="120" w:after="120" w:line="240" w:lineRule="auto"/>
      <w:textAlignment w:val="baseline"/>
      <w:outlineLvl w:val="0"/>
    </w:pPr>
    <w:rPr>
      <w:rFonts w:ascii="Arial Gras" w:eastAsia="Times New Roman" w:hAnsi="Arial Gras" w:cs="Times New Roman"/>
      <w:b/>
      <w:kern w:val="22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qFormat/>
    <w:rsid w:val="00BF6CFB"/>
    <w:pPr>
      <w:pBdr>
        <w:bottom w:val="single" w:sz="8" w:space="4" w:color="4F81BD" w:themeColor="accent1"/>
      </w:pBdr>
      <w:suppressAutoHyphens/>
      <w:overflowPunct w:val="0"/>
      <w:autoSpaceDE w:val="0"/>
      <w:spacing w:after="300" w:line="240" w:lineRule="auto"/>
      <w:contextualSpacing/>
      <w:textAlignment w:val="baseline"/>
    </w:pPr>
    <w:rPr>
      <w:rFonts w:ascii="Arial" w:eastAsiaTheme="majorEastAsia" w:hAnsi="Arial" w:cstheme="majorBidi"/>
      <w:spacing w:val="5"/>
      <w:kern w:val="28"/>
      <w:sz w:val="28"/>
      <w:szCs w:val="52"/>
      <w:lang w:eastAsia="ar-SA"/>
    </w:rPr>
  </w:style>
  <w:style w:type="character" w:customStyle="1" w:styleId="TitreCar">
    <w:name w:val="Titre Car"/>
    <w:basedOn w:val="Policepardfaut"/>
    <w:link w:val="Titre"/>
    <w:rsid w:val="00BF6CFB"/>
    <w:rPr>
      <w:rFonts w:ascii="Arial" w:eastAsiaTheme="majorEastAsia" w:hAnsi="Arial" w:cstheme="majorBidi"/>
      <w:spacing w:val="5"/>
      <w:kern w:val="28"/>
      <w:sz w:val="28"/>
      <w:szCs w:val="52"/>
      <w:lang w:eastAsia="ar-SA"/>
    </w:rPr>
  </w:style>
  <w:style w:type="character" w:customStyle="1" w:styleId="Titre1Car">
    <w:name w:val="Titre 1 Car"/>
    <w:aliases w:val="Zone N Car"/>
    <w:basedOn w:val="Policepardfaut"/>
    <w:link w:val="Titre1"/>
    <w:rsid w:val="00CB7D95"/>
    <w:rPr>
      <w:rFonts w:ascii="Arial Gras" w:eastAsia="Times New Roman" w:hAnsi="Arial Gras" w:cs="Times New Roman"/>
      <w:b/>
      <w:kern w:val="22"/>
      <w:szCs w:val="24"/>
      <w:lang w:eastAsia="ar-SA"/>
    </w:rPr>
  </w:style>
  <w:style w:type="table" w:styleId="Grilledutableau">
    <w:name w:val="Table Grid"/>
    <w:basedOn w:val="TableauNormal"/>
    <w:uiPriority w:val="59"/>
    <w:rsid w:val="008D1263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639A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36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649A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36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649A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701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Urbadoc3</dc:creator>
  <cp:lastModifiedBy>Urbadoc3</cp:lastModifiedBy>
  <cp:revision>2</cp:revision>
  <dcterms:created xsi:type="dcterms:W3CDTF">2016-10-11T10:59:00Z</dcterms:created>
  <dcterms:modified xsi:type="dcterms:W3CDTF">2016-10-11T12:21:00Z</dcterms:modified>
</cp:coreProperties>
</file>